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0"/>
        <w:ind w:left="378" w:right="0" w:firstLine="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附件</w:t>
      </w:r>
      <w:r>
        <w:rPr>
          <w:rFonts w:ascii="楷体" w:hAnsi="楷体" w:eastAsia="楷体" w:cs="楷体"/>
          <w:spacing w:val="-82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</w:rPr>
        <w:t>1</w:t>
      </w:r>
    </w:p>
    <w:p>
      <w:pPr>
        <w:spacing w:before="0" w:line="240" w:lineRule="auto"/>
        <w:rPr>
          <w:rFonts w:ascii="楷体" w:hAnsi="楷体" w:eastAsia="楷体" w:cs="楷体"/>
          <w:sz w:val="20"/>
          <w:szCs w:val="20"/>
        </w:rPr>
      </w:pPr>
    </w:p>
    <w:p>
      <w:pPr>
        <w:spacing w:before="0" w:line="240" w:lineRule="auto"/>
        <w:rPr>
          <w:rFonts w:ascii="楷体" w:hAnsi="楷体" w:eastAsia="楷体" w:cs="楷体"/>
          <w:sz w:val="20"/>
          <w:szCs w:val="20"/>
        </w:rPr>
      </w:pPr>
    </w:p>
    <w:p>
      <w:pPr>
        <w:spacing w:before="11" w:line="240" w:lineRule="auto"/>
        <w:rPr>
          <w:rFonts w:ascii="楷体" w:hAnsi="楷体" w:eastAsia="楷体" w:cs="楷体"/>
          <w:sz w:val="13"/>
          <w:szCs w:val="13"/>
        </w:rPr>
      </w:pPr>
    </w:p>
    <w:p>
      <w:pPr>
        <w:pStyle w:val="2"/>
        <w:spacing w:line="484" w:lineRule="exact"/>
        <w:ind w:right="1235"/>
        <w:jc w:val="center"/>
      </w:pPr>
      <w:r>
        <w:t>2022</w:t>
      </w:r>
      <w:r>
        <w:rPr>
          <w:spacing w:val="-22"/>
        </w:rPr>
        <w:t xml:space="preserve"> </w:t>
      </w:r>
      <w:r>
        <w:t>年度聊城市哲学社会科学规划</w:t>
      </w:r>
    </w:p>
    <w:p>
      <w:pPr>
        <w:pStyle w:val="2"/>
        <w:spacing w:line="686" w:lineRule="exact"/>
        <w:ind w:right="1235"/>
        <w:jc w:val="center"/>
      </w:pPr>
      <w:r>
        <w:t>重点课题立项名单</w:t>
      </w:r>
    </w:p>
    <w:p>
      <w:pPr>
        <w:spacing w:before="6" w:line="240" w:lineRule="auto"/>
        <w:rPr>
          <w:rFonts w:ascii="Arial Unicode MS" w:hAnsi="Arial Unicode MS" w:eastAsia="Arial Unicode MS" w:cs="Arial Unicode MS"/>
          <w:sz w:val="27"/>
          <w:szCs w:val="27"/>
        </w:r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495"/>
        <w:gridCol w:w="2977"/>
        <w:gridCol w:w="992"/>
        <w:gridCol w:w="1843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 w:line="240" w:lineRule="auto"/>
              <w:ind w:left="131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 w:line="240" w:lineRule="auto"/>
              <w:ind w:left="261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课题类型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课题名称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exact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课题</w:t>
            </w:r>
          </w:p>
          <w:p>
            <w:pPr>
              <w:pStyle w:val="7"/>
              <w:spacing w:line="313" w:lineRule="exact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 w:line="240" w:lineRule="auto"/>
              <w:ind w:left="435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推荐单位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 w:line="240" w:lineRule="auto"/>
              <w:ind w:left="39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360" w:lineRule="exact"/>
              <w:ind w:left="112" w:right="11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习近平新时代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中国特色社会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主义思想研究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314" w:lineRule="auto"/>
              <w:ind w:left="103" w:right="13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习近平总书记关于党的历史的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重要论述解析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刘焕申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exact"/>
              <w:ind w:left="112" w:right="11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习近平新时代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中国特色社会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主义思想研究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314" w:lineRule="auto"/>
              <w:ind w:left="103" w:right="13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“一带一路”国际话语的叙事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张丽红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40" w:lineRule="auto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</w:p>
          <w:p>
            <w:pPr>
              <w:pStyle w:val="7"/>
              <w:spacing w:before="85" w:line="240" w:lineRule="auto"/>
              <w:ind w:right="0" w:rightChars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数字经济赋能聊城黄河文化旅</w:t>
            </w:r>
          </w:p>
          <w:p>
            <w:pPr>
              <w:pStyle w:val="7"/>
              <w:spacing w:before="85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游带建设研究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76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唐明贵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民革聊城市委员会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12" w:leftChars="0" w:right="112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3" w:leftChars="0" w:right="133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聊城市农业现代化水平测度与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实现路径研究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76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杨宏力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6" w:leftChars="0" w:right="107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羡林学者培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育工程专项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12" w:leftChars="0" w:right="112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3" w:leftChars="0" w:right="133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产业链整合视角下聊城轴承高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端发展研究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76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张延辉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12" w:leftChars="0" w:right="112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3" w:leftChars="0" w:right="133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制造业强市评价指标体系构建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与应用——以聊城市为例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76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宁朝山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12" w:leftChars="0" w:right="112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3" w:leftChars="0" w:right="133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乡村振兴战略下聊城市农村电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商发展分析与对策研究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76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贾保先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40" w:lineRule="auto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</w:p>
          <w:p>
            <w:pPr>
              <w:pStyle w:val="7"/>
              <w:spacing w:before="85" w:line="240" w:lineRule="auto"/>
              <w:ind w:right="0" w:rightChars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数字经济驱动聊城市物流业高质</w:t>
            </w:r>
          </w:p>
          <w:p>
            <w:pPr>
              <w:pStyle w:val="7"/>
              <w:spacing w:before="85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量发展的路径与对策研究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280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董慧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40" w:lineRule="auto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</w:p>
          <w:p>
            <w:pPr>
              <w:pStyle w:val="7"/>
              <w:spacing w:before="85" w:line="240" w:lineRule="auto"/>
              <w:ind w:right="0" w:rightChars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聊城市发展冰雪经济对策研究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76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宋志强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民革聊城市委员会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40" w:lineRule="auto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</w:p>
          <w:p>
            <w:pPr>
              <w:pStyle w:val="7"/>
              <w:spacing w:before="85" w:line="240" w:lineRule="auto"/>
              <w:ind w:right="0" w:rightChars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驻聊高校与地方融合发展路径</w:t>
            </w:r>
          </w:p>
          <w:p>
            <w:pPr>
              <w:pStyle w:val="7"/>
              <w:spacing w:before="85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280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丛振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40" w:lineRule="auto"/>
              <w:ind w:left="10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羡林学者培</w:t>
            </w:r>
          </w:p>
          <w:p>
            <w:pPr>
              <w:pStyle w:val="7"/>
              <w:spacing w:before="85" w:line="240" w:lineRule="auto"/>
              <w:ind w:left="106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育工程专项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12" w:leftChars="0" w:right="112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3" w:leftChars="0" w:right="133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地方应用型高校榜样育人方法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论研究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76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王红霞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6" w:leftChars="0" w:right="107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羡林学者培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育工程专项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12" w:leftChars="0" w:right="112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3" w:leftChars="0" w:right="133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新时代工匠精神的内容、结构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及影响机制研究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76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巩振兴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6" w:leftChars="0" w:right="107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羡林学者培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育工程专项</w:t>
            </w:r>
          </w:p>
        </w:tc>
      </w:tr>
    </w:tbl>
    <w:p>
      <w:pPr>
        <w:spacing w:after="0"/>
        <w:sectPr>
          <w:footerReference r:id="rId5" w:type="default"/>
          <w:type w:val="continuous"/>
          <w:pgSz w:w="11910" w:h="16840"/>
          <w:pgMar w:top="1580" w:right="1300" w:bottom="1140" w:left="1040" w:header="720" w:footer="955" w:gutter="0"/>
          <w:pgNumType w:start="1"/>
          <w:cols w:space="720" w:num="1"/>
        </w:sect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8"/>
          <w:szCs w:val="8"/>
        </w:r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495"/>
        <w:gridCol w:w="2977"/>
        <w:gridCol w:w="992"/>
        <w:gridCol w:w="1843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12" w:leftChars="0" w:right="112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3" w:leftChars="0" w:right="101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1949</w:t>
            </w:r>
            <w:r>
              <w:rPr>
                <w:rFonts w:ascii="宋体" w:hAnsi="宋体" w:eastAsia="宋体" w:cs="宋体"/>
                <w:spacing w:val="-7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年华北干部南下的历史贡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献与当代启示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280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6" w:leftChars="0" w:right="107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羡林学者培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育工程专项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12" w:leftChars="0" w:right="112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3" w:leftChars="0" w:right="133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聊城推进全过程人民民主路径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280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6" w:leftChars="0" w:right="107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12" w:leftChars="0" w:right="112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3" w:leftChars="0" w:right="133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冀鲁豫边区文艺作品中的红色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精神研究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280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6" w:leftChars="0" w:right="107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羡林学者培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育工程专项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12" w:leftChars="0" w:right="112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3" w:leftChars="0" w:right="133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新媒介时代聊城红色文化影像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传承研究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76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王传领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6" w:leftChars="0" w:right="107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羡林学者培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育工程专项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right="355" w:rightChars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传承创新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2" w:leftChars="0" w:right="202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聊城乡村记忆工程纵深推进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路径研究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76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石莹丽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" w:line="278" w:lineRule="auto"/>
              <w:ind w:right="355" w:rightChars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传承创新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2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莘县红色文化研究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2" w:line="240" w:lineRule="auto"/>
              <w:ind w:left="280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2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ind w:right="355" w:rightChars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传承创新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2" w:leftChars="0" w:right="202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聊城运河文化创造性转化与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创新性发展研究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76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胡梦飞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" w:line="278" w:lineRule="auto"/>
              <w:ind w:right="355" w:rightChars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传承创新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78" w:lineRule="auto"/>
              <w:ind w:left="102" w:leftChars="0" w:right="202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红色电影助力职工思想政治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引导的路径研究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2" w:line="240" w:lineRule="auto"/>
              <w:ind w:left="280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2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360" w:lineRule="exact"/>
              <w:ind w:left="106" w:right="10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10" w:h="16840"/>
      <w:pgMar w:top="1580" w:right="1300" w:bottom="1140" w:left="1040" w:header="0" w:footer="9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293.3pt;margin-top:782.1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7537E38"/>
    <w:rsid w:val="0A4A3E4A"/>
    <w:rsid w:val="0BD17D36"/>
    <w:rsid w:val="10665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492"/>
    </w:pPr>
    <w:rPr>
      <w:rFonts w:ascii="Arial Unicode MS" w:hAnsi="Arial Unicode MS" w:eastAsia="Arial Unicode MS"/>
      <w:sz w:val="44"/>
      <w:szCs w:val="4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2022-04-18T08:32:00Z</dcterms:created>
  <dc:creator>Administrator</dc:creator>
  <cp:lastModifiedBy>宋立杰</cp:lastModifiedBy>
  <cp:lastPrinted>2022-04-21T03:27:27Z</cp:lastPrinted>
  <dcterms:modified xsi:type="dcterms:W3CDTF">2022-04-21T03:27:42Z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2022-04-18T00:00:00Z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C3F7FAD2AEB84630A30D5952A528ACD8</vt:lpwstr>
  </property>
</Properties>
</file>